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Beoordelingsformulier RCT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Naam beoordelaar: Jet Zoetemeijer. . . . . . . . . . . . . . . . . . . . . . . . . . . . . . . . . . . . . . . . . . . . . .  Datum: 21-05-2022. . . . . . . . . . . . . . . . . . . . . 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Bibliografische gegevens van het artikel conform de APA: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Gry Bang-Kittilsen, Jens Engeland, Tom Langerud Holmen, Therese Torgersen Bigseth, Eivind Andersen, Jon Mordal, Pal Ulleberg, John Abel Engh, A. (2021). High-intensity interval training and active video gaming improve neurocognition in schizophrenia: a randomized controlled trial (1). SpringerLink.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https://link.springer.com/article/10.1007/s00406-020-01200-4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Korte beschrijving interventie: Patiënten met schizofrenie HIIT training laten beoefenen, die bestaat uit een warming-up, gevolgd door intervallen waarin werd gewandeld of hardgelopen, afgesloten met een afkoelperiode. . . 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Korte beschrijving controlebehandeling(en): Patiënten met schizofrenie geautomatiseerde sport simulatie met behulp van de Nintendo Wii laten beoefenen...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Korte beschrijving onderzoekspopulatie: Individuen gediagnosticeerd met schizofrenie tussen de leeftijden 18 en 67.  . . . . . . . . . . . . . . . . . . 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Probleem: Vermindering van cognitie.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Comorbiditeit: Schizofrenie.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Geslacht: Man en vrouw.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Leeftijd: 18-67 jaar.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Plaats van onderzoek: Vestfold Hospital Trust, Noorwegen.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Randomisatie</w:t>
      </w:r>
    </w:p>
    <w:p w:rsidR="00000000" w:rsidDel="00000000" w:rsidP="00000000" w:rsidRDefault="00000000" w:rsidRPr="00000000" w14:paraId="00000016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1a </w:t>
        <w:tab/>
        <w:t xml:space="preserve">Welke informatie geeft het artikel over de manier waarop de onderzoeksdeelnemers toegewezen zijn aan de experimentele groep of de controlegroep?</w:t>
      </w:r>
    </w:p>
    <w:p w:rsidR="00000000" w:rsidDel="00000000" w:rsidP="00000000" w:rsidRDefault="00000000" w:rsidRPr="00000000" w14:paraId="00000018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De onderzoeksdeelnemers zijn willekeurig toegewezen door het gebruik van gesloten enveloppen gegenereerd door een geautomatiseerde generator.</w:t>
      </w:r>
    </w:p>
    <w:p w:rsidR="00000000" w:rsidDel="00000000" w:rsidP="00000000" w:rsidRDefault="00000000" w:rsidRPr="00000000" w14:paraId="00000019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1b </w:t>
        <w:tab/>
        <w:t xml:space="preserve">Was de toewijzing van de deelnemers aan de experimentele en de controlegroep gerandomiseerd (</w:t>
      </w:r>
      <w:r w:rsidDel="00000000" w:rsidR="00000000" w:rsidRPr="00000000">
        <w:rPr>
          <w:i w:val="1"/>
          <w:rtl w:val="0"/>
        </w:rPr>
        <w:t xml:space="preserve">randomisation of the allocation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1A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1B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1c </w:t>
        <w:tab/>
        <w:t xml:space="preserve">De toewijzing van de deelnemers aan de experimentele en de controlegroep moet zodanig gebeuren dat de persoon die de deelnemers randomiseert geen enkele invloed kan uitoefenen op de randomisatie (</w:t>
      </w:r>
      <w:r w:rsidDel="00000000" w:rsidR="00000000" w:rsidRPr="00000000">
        <w:rPr>
          <w:i w:val="1"/>
          <w:rtl w:val="0"/>
        </w:rPr>
        <w:t xml:space="preserve">allocation concealment</w:t>
      </w:r>
      <w:r w:rsidDel="00000000" w:rsidR="00000000" w:rsidRPr="00000000">
        <w:rPr>
          <w:rtl w:val="0"/>
        </w:rPr>
        <w:t xml:space="preserve">). Is dit in dit onderzoek inderdaad het geval?</w:t>
      </w:r>
    </w:p>
    <w:p w:rsidR="00000000" w:rsidDel="00000000" w:rsidP="00000000" w:rsidRDefault="00000000" w:rsidRPr="00000000" w14:paraId="0000001C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De toewijzing was geblindeerd uitgevoerd.</w:t>
      </w:r>
    </w:p>
    <w:p w:rsidR="00000000" w:rsidDel="00000000" w:rsidP="00000000" w:rsidRDefault="00000000" w:rsidRPr="00000000" w14:paraId="0000001D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Blindering</w:t>
      </w:r>
    </w:p>
    <w:p w:rsidR="00000000" w:rsidDel="00000000" w:rsidP="00000000" w:rsidRDefault="00000000" w:rsidRPr="00000000" w14:paraId="0000001F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2a </w:t>
        <w:tab/>
        <w:t xml:space="preserve">Wisten de deelnemers in welke groep zij ingedeeld waren (experimentele of controlegroep)?</w:t>
      </w:r>
    </w:p>
    <w:p w:rsidR="00000000" w:rsidDel="00000000" w:rsidP="00000000" w:rsidRDefault="00000000" w:rsidRPr="00000000" w14:paraId="00000021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De deelnemers konden niet worden geblindeerd.</w:t>
      </w:r>
    </w:p>
    <w:p w:rsidR="00000000" w:rsidDel="00000000" w:rsidP="00000000" w:rsidRDefault="00000000" w:rsidRPr="00000000" w14:paraId="00000022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2b </w:t>
        <w:tab/>
        <w:t xml:space="preserve">Wisten de zorgprofessionals welke deelnemers in welke groep ingedeeld waren?</w:t>
      </w:r>
    </w:p>
    <w:p w:rsidR="00000000" w:rsidDel="00000000" w:rsidP="00000000" w:rsidRDefault="00000000" w:rsidRPr="00000000" w14:paraId="00000023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24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2c </w:t>
        <w:tab/>
        <w:t xml:space="preserve">Wisten de personen die de outcomes van de deelnemers gemeten hebben (effectbeoordelaars, </w:t>
      </w:r>
      <w:r w:rsidDel="00000000" w:rsidR="00000000" w:rsidRPr="00000000">
        <w:rPr>
          <w:i w:val="1"/>
          <w:rtl w:val="0"/>
        </w:rPr>
        <w:t xml:space="preserve">outcome assessors</w:t>
      </w:r>
      <w:r w:rsidDel="00000000" w:rsidR="00000000" w:rsidRPr="00000000">
        <w:rPr>
          <w:rtl w:val="0"/>
        </w:rPr>
        <w:t xml:space="preserve">) welke deelnemer in welke groep ingedeeld was?</w:t>
      </w:r>
    </w:p>
    <w:p w:rsidR="00000000" w:rsidDel="00000000" w:rsidP="00000000" w:rsidRDefault="00000000" w:rsidRPr="00000000" w14:paraId="00000025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Nee.</w:t>
      </w:r>
    </w:p>
    <w:p w:rsidR="00000000" w:rsidDel="00000000" w:rsidP="00000000" w:rsidRDefault="00000000" w:rsidRPr="00000000" w14:paraId="00000026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Vergelijkbaarheid van de deelnemers</w:t>
      </w:r>
    </w:p>
    <w:p w:rsidR="00000000" w:rsidDel="00000000" w:rsidP="00000000" w:rsidRDefault="00000000" w:rsidRPr="00000000" w14:paraId="0000002B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3a </w:t>
        <w:tab/>
        <w:t xml:space="preserve">Zijn de demografische kenmerken (</w:t>
      </w:r>
      <w:r w:rsidDel="00000000" w:rsidR="00000000" w:rsidRPr="00000000">
        <w:rPr>
          <w:i w:val="1"/>
          <w:rtl w:val="0"/>
        </w:rPr>
        <w:t xml:space="preserve">demographic characteristics</w:t>
      </w:r>
      <w:r w:rsidDel="00000000" w:rsidR="00000000" w:rsidRPr="00000000">
        <w:rPr>
          <w:rtl w:val="0"/>
        </w:rPr>
        <w:t xml:space="preserve">, zoals leeftijd, geslacht, opleidingsniveau) van de deelnemers in de experimentele en in de controlegroep voorafgaand aan het onderzoek ongeveer gelijk? ( zie tabel 1 oha)</w:t>
      </w:r>
    </w:p>
    <w:p w:rsidR="00000000" w:rsidDel="00000000" w:rsidP="00000000" w:rsidRDefault="00000000" w:rsidRPr="00000000" w14:paraId="0000002C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2D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3b </w:t>
        <w:tab/>
        <w:t xml:space="preserve">Zijn de klinische prognostische variabelen (zoals ernst of stadium van de aandoening, medicatiegebruik, comorbiditeit van de deelnemers in de experimentele en in de controlegroep voorafgaand aan het onderzoek ongeveer gelijk?</w:t>
      </w:r>
    </w:p>
    <w:p w:rsidR="00000000" w:rsidDel="00000000" w:rsidP="00000000" w:rsidRDefault="00000000" w:rsidRPr="00000000" w14:paraId="0000002E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2F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3c </w:t>
        <w:tab/>
        <w:t xml:space="preserve">Zijn de meetresultaten van de belangrijkste outcomes (</w:t>
      </w:r>
      <w:r w:rsidDel="00000000" w:rsidR="00000000" w:rsidRPr="00000000">
        <w:rPr>
          <w:i w:val="1"/>
          <w:rtl w:val="0"/>
        </w:rPr>
        <w:t xml:space="preserve">primary outcome measures</w:t>
      </w:r>
      <w:r w:rsidDel="00000000" w:rsidR="00000000" w:rsidRPr="00000000">
        <w:rPr>
          <w:rtl w:val="0"/>
        </w:rPr>
        <w:t xml:space="preserve">) van de deelnemers in de experimentele en in de controlegroep voorafgaand aan het onderzoek ongeveer gelijk?</w:t>
      </w:r>
    </w:p>
    <w:p w:rsidR="00000000" w:rsidDel="00000000" w:rsidP="00000000" w:rsidRDefault="00000000" w:rsidRPr="00000000" w14:paraId="00000030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31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Steekproefgrootte en de volledigheid van de follow-up-metingen</w:t>
      </w:r>
    </w:p>
    <w:p w:rsidR="00000000" w:rsidDel="00000000" w:rsidP="00000000" w:rsidRDefault="00000000" w:rsidRPr="00000000" w14:paraId="00000033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4a </w:t>
        <w:tab/>
        <w:t xml:space="preserve">Uit hoeveel deelnemers bestond de steekproef in deze studie?</w:t>
      </w:r>
    </w:p>
    <w:p w:rsidR="00000000" w:rsidDel="00000000" w:rsidP="00000000" w:rsidRDefault="00000000" w:rsidRPr="00000000" w14:paraId="00000035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82</w:t>
      </w:r>
    </w:p>
    <w:p w:rsidR="00000000" w:rsidDel="00000000" w:rsidP="00000000" w:rsidRDefault="00000000" w:rsidRPr="00000000" w14:paraId="00000036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4b </w:t>
        <w:tab/>
        <w:t xml:space="preserve">Voor welk percentage van de deelnemers uit de steekproef is de follow-up-meting volledig uitgevoerd?</w:t>
      </w:r>
    </w:p>
    <w:p w:rsidR="00000000" w:rsidDel="00000000" w:rsidP="00000000" w:rsidRDefault="00000000" w:rsidRPr="00000000" w14:paraId="00000037">
      <w:pPr>
        <w:spacing w:after="240" w:before="240" w:lineRule="auto"/>
        <w:ind w:left="1120" w:hanging="560"/>
        <w:rPr/>
      </w:pPr>
      <w:r w:rsidDel="00000000" w:rsidR="00000000" w:rsidRPr="00000000">
        <w:rPr>
          <w:sz w:val="24"/>
          <w:szCs w:val="24"/>
          <w:rtl w:val="0"/>
        </w:rPr>
        <w:t xml:space="preserve">67,9%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4c </w:t>
        <w:tab/>
        <w:t xml:space="preserve">Is de analyse van de onderzoeksresultaten uitgevoerd volgens het </w:t>
      </w:r>
      <w:r w:rsidDel="00000000" w:rsidR="00000000" w:rsidRPr="00000000">
        <w:rPr>
          <w:i w:val="1"/>
          <w:rtl w:val="0"/>
        </w:rPr>
        <w:t xml:space="preserve">intention to treat</w:t>
      </w:r>
      <w:r w:rsidDel="00000000" w:rsidR="00000000" w:rsidRPr="00000000">
        <w:rPr>
          <w:rtl w:val="0"/>
        </w:rPr>
        <w:t xml:space="preserve">-principe?</w:t>
      </w:r>
    </w:p>
    <w:p w:rsidR="00000000" w:rsidDel="00000000" w:rsidP="00000000" w:rsidRDefault="00000000" w:rsidRPr="00000000" w14:paraId="00000039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3A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4d </w:t>
        <w:tab/>
      </w:r>
      <w:r w:rsidDel="00000000" w:rsidR="00000000" w:rsidRPr="00000000">
        <w:rPr>
          <w:rtl w:val="0"/>
        </w:rPr>
        <w:t xml:space="preserve">Welke informatie kan verkregen worden uit het flow diagram (</w:t>
      </w:r>
      <w:r w:rsidDel="00000000" w:rsidR="00000000" w:rsidRPr="00000000">
        <w:rPr>
          <w:i w:val="1"/>
          <w:rtl w:val="0"/>
        </w:rPr>
        <w:t xml:space="preserve">trial flow</w:t>
      </w:r>
      <w:r w:rsidDel="00000000" w:rsidR="00000000" w:rsidRPr="00000000">
        <w:rPr>
          <w:rtl w:val="0"/>
        </w:rPr>
        <w:t xml:space="preserve">) dat in dit artikel opgenomen is?</w:t>
      </w:r>
    </w:p>
    <w:p w:rsidR="00000000" w:rsidDel="00000000" w:rsidP="00000000" w:rsidRDefault="00000000" w:rsidRPr="00000000" w14:paraId="0000003B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De trouwheid was redelijk laag.</w:t>
      </w:r>
    </w:p>
    <w:p w:rsidR="00000000" w:rsidDel="00000000" w:rsidP="00000000" w:rsidRDefault="00000000" w:rsidRPr="00000000" w14:paraId="0000003C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1120" w:hanging="560"/>
        <w:rPr/>
      </w:pPr>
      <w:r w:rsidDel="00000000" w:rsidR="00000000" w:rsidRPr="00000000">
        <w:rPr>
          <w:b w:val="1"/>
          <w:rtl w:val="0"/>
        </w:rPr>
        <w:t xml:space="preserve">Vergelijkbaarheid van de behandeling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5 </w:t>
        <w:tab/>
        <w:t xml:space="preserve">Is, afgezien van de experimentele interventie, de behandeling van de experimentele en de controlegroep vergelijkbaar?</w:t>
      </w:r>
    </w:p>
    <w:p w:rsidR="00000000" w:rsidDel="00000000" w:rsidP="00000000" w:rsidRDefault="00000000" w:rsidRPr="00000000" w14:paraId="00000041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42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ind w:left="1120" w:hanging="560"/>
        <w:rPr/>
      </w:pPr>
      <w:r w:rsidDel="00000000" w:rsidR="00000000" w:rsidRPr="00000000">
        <w:rPr>
          <w:b w:val="1"/>
          <w:rtl w:val="0"/>
        </w:rPr>
        <w:t xml:space="preserve">Validiteit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6 </w:t>
        <w:tab/>
        <w:t xml:space="preserve">Bezien vanuit de antwoorden op de voorafgaande 5 vragen: is deze studie valide?</w:t>
      </w:r>
    </w:p>
    <w:p w:rsidR="00000000" w:rsidDel="00000000" w:rsidP="00000000" w:rsidRDefault="00000000" w:rsidRPr="00000000" w14:paraId="00000045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Redelijk.</w:t>
      </w:r>
    </w:p>
    <w:p w:rsidR="00000000" w:rsidDel="00000000" w:rsidP="00000000" w:rsidRDefault="00000000" w:rsidRPr="00000000" w14:paraId="00000046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ind w:left="1120" w:hanging="560"/>
        <w:rPr/>
      </w:pPr>
      <w:r w:rsidDel="00000000" w:rsidR="00000000" w:rsidRPr="00000000">
        <w:rPr>
          <w:b w:val="1"/>
          <w:rtl w:val="0"/>
        </w:rPr>
        <w:t xml:space="preserve">Resultaten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7a </w:t>
        <w:tab/>
        <w:t xml:space="preserve">Wat is de belangrijkste outcome (</w:t>
      </w:r>
      <w:r w:rsidDel="00000000" w:rsidR="00000000" w:rsidRPr="00000000">
        <w:rPr>
          <w:i w:val="1"/>
          <w:rtl w:val="0"/>
        </w:rPr>
        <w:t xml:space="preserve">primary outcome</w:t>
      </w:r>
      <w:r w:rsidDel="00000000" w:rsidR="00000000" w:rsidRPr="00000000">
        <w:rPr>
          <w:rtl w:val="0"/>
        </w:rPr>
        <w:t xml:space="preserve">) in deze studie?</w:t>
      </w:r>
    </w:p>
    <w:p w:rsidR="00000000" w:rsidDel="00000000" w:rsidP="00000000" w:rsidRDefault="00000000" w:rsidRPr="00000000" w14:paraId="00000049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Dat de beide interventies over het algemeen een gelijk resultaat hebben.</w:t>
      </w:r>
    </w:p>
    <w:p w:rsidR="00000000" w:rsidDel="00000000" w:rsidP="00000000" w:rsidRDefault="00000000" w:rsidRPr="00000000" w14:paraId="0000004A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7b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Hoe groot is het effect van de experimentele interventie (bijvoorbeeld OR, RR, risicoverschil, of NNT van de belangrijkste outcome)?</w:t>
      </w:r>
    </w:p>
    <w:p w:rsidR="00000000" w:rsidDel="00000000" w:rsidP="00000000" w:rsidRDefault="00000000" w:rsidRPr="00000000" w14:paraId="0000004B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Zie tabel.</w:t>
      </w:r>
    </w:p>
    <w:p w:rsidR="00000000" w:rsidDel="00000000" w:rsidP="00000000" w:rsidRDefault="00000000" w:rsidRPr="00000000" w14:paraId="0000004C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7c </w:t>
      </w:r>
      <w:r w:rsidDel="00000000" w:rsidR="00000000" w:rsidRPr="00000000">
        <w:rPr>
          <w:rtl w:val="0"/>
        </w:rPr>
        <w:tab/>
        <w:t xml:space="preserve">Hoe precies is het effect van de interventie weergegeven (betrouwbaarheidsinterval, </w:t>
      </w:r>
      <w:r w:rsidDel="00000000" w:rsidR="00000000" w:rsidRPr="00000000">
        <w:rPr>
          <w:i w:val="1"/>
          <w:rtl w:val="0"/>
        </w:rPr>
        <w:t xml:space="preserve">confidence interval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4D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Het is aangegeven door metingen van de cognitie m.b.v. MATRICS Consensus Cognitive Battery (MCCB). Deze metingen zijn erg precies.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Verwerking resultaten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 dichotome uitkomsten</w:t>
      </w:r>
      <w:r w:rsidDel="00000000" w:rsidR="00000000" w:rsidRPr="00000000">
        <w:rPr>
          <w:rtl w:val="0"/>
        </w:rPr>
        <w:t xml:space="preserve"> (genezen / niet-genezen; in leven / overleden)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Uitkomst: Gunstig</w:t>
      </w:r>
      <w:r w:rsidDel="00000000" w:rsidR="00000000" w:rsidRPr="00000000">
        <w:rPr>
          <w:rtl w:val="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Follow-up: . . . . . . . . . . . . . . . . 4 maanden</w:t>
      </w:r>
    </w:p>
    <w:tbl>
      <w:tblPr>
        <w:tblStyle w:val="Table1"/>
        <w:tblW w:w="89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00"/>
        <w:gridCol w:w="1820"/>
        <w:gridCol w:w="1820"/>
        <w:gridCol w:w="1820"/>
        <w:tblGridChange w:id="0">
          <w:tblGrid>
            <w:gridCol w:w="3500"/>
            <w:gridCol w:w="1820"/>
            <w:gridCol w:w="1820"/>
            <w:gridCol w:w="18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uitkomst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totaal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aanwezig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afwezig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dd6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Interventiegroep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Controlegroep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Totaal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Kans op gebeurtenis in de interventiegroep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 / (29+5) = 85,3%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Kans op gebeurtenis in de controlegroep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28 / (28+9) = 75,7%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Risicoverschil (RV)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(29 / (29+5) = 85,3%) - (28 / (28+9) = 75,7%) = 9,6%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Number needed to treat (NNT 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 / 9,62.. = 10,4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Relatieve risico (RR)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(29 / (29+5) = 85,3%) / (28 / (28+9) = 75,7%) = 1,1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Relatieve risico reductie (RRR)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1,1 - 1 = 0,1 </w:t>
            </w:r>
          </w:p>
        </w:tc>
      </w:tr>
    </w:tbl>
    <w:p w:rsidR="00000000" w:rsidDel="00000000" w:rsidP="00000000" w:rsidRDefault="00000000" w:rsidRPr="00000000" w14:paraId="0000008E">
      <w:pPr>
        <w:spacing w:after="240" w:before="240" w:lineRule="auto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bottom w:color="auto" w:space="0" w:sz="0" w:val="none"/>
        </w:pBdr>
        <w:spacing w:after="240" w:before="240" w:line="224.72727272727272" w:lineRule="auto"/>
        <w:ind w:left="100" w:right="-20" w:firstLine="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Significantie</w:t>
      </w:r>
    </w:p>
    <w:p w:rsidR="00000000" w:rsidDel="00000000" w:rsidP="00000000" w:rsidRDefault="00000000" w:rsidRPr="00000000" w14:paraId="00000092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8a </w:t>
        <w:tab/>
        <w:t xml:space="preserve">Is het effect statistisch significant?</w:t>
      </w:r>
    </w:p>
    <w:p w:rsidR="00000000" w:rsidDel="00000000" w:rsidP="00000000" w:rsidRDefault="00000000" w:rsidRPr="00000000" w14:paraId="00000094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95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8b </w:t>
        <w:tab/>
        <w:t xml:space="preserve">Is het effect klinisch significant?</w:t>
      </w:r>
    </w:p>
    <w:p w:rsidR="00000000" w:rsidDel="00000000" w:rsidP="00000000" w:rsidRDefault="00000000" w:rsidRPr="00000000" w14:paraId="00000096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Ja.</w:t>
      </w:r>
    </w:p>
    <w:p w:rsidR="00000000" w:rsidDel="00000000" w:rsidP="00000000" w:rsidRDefault="00000000" w:rsidRPr="00000000" w14:paraId="00000097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9a </w:t>
        <w:tab/>
        <w:t xml:space="preserve">Welke bijwerkingen of andere ongewenste effecten (</w:t>
      </w:r>
      <w:r w:rsidDel="00000000" w:rsidR="00000000" w:rsidRPr="00000000">
        <w:rPr>
          <w:i w:val="1"/>
          <w:rtl w:val="0"/>
        </w:rPr>
        <w:t xml:space="preserve">adverse effects</w:t>
      </w:r>
      <w:r w:rsidDel="00000000" w:rsidR="00000000" w:rsidRPr="00000000">
        <w:rPr>
          <w:rtl w:val="0"/>
        </w:rPr>
        <w:t xml:space="preserve">) zijn in het artikel</w:t>
      </w:r>
    </w:p>
    <w:p w:rsidR="00000000" w:rsidDel="00000000" w:rsidP="00000000" w:rsidRDefault="00000000" w:rsidRPr="00000000" w14:paraId="00000098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gerapporteerd?</w:t>
      </w:r>
    </w:p>
    <w:p w:rsidR="00000000" w:rsidDel="00000000" w:rsidP="00000000" w:rsidRDefault="00000000" w:rsidRPr="00000000" w14:paraId="00000099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Geen.</w:t>
      </w:r>
    </w:p>
    <w:p w:rsidR="00000000" w:rsidDel="00000000" w:rsidP="00000000" w:rsidRDefault="00000000" w:rsidRPr="00000000" w14:paraId="0000009A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9b </w:t>
        <w:tab/>
        <w:t xml:space="preserve">Hoeveel risico is er op een ernstig ongewenst effect?</w:t>
      </w:r>
    </w:p>
    <w:p w:rsidR="00000000" w:rsidDel="00000000" w:rsidP="00000000" w:rsidRDefault="00000000" w:rsidRPr="00000000" w14:paraId="0000009B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Weinig.</w:t>
      </w:r>
    </w:p>
    <w:p w:rsidR="00000000" w:rsidDel="00000000" w:rsidP="00000000" w:rsidRDefault="00000000" w:rsidRPr="00000000" w14:paraId="0000009C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Toepasbaarheid</w:t>
      </w:r>
    </w:p>
    <w:p w:rsidR="00000000" w:rsidDel="00000000" w:rsidP="00000000" w:rsidRDefault="00000000" w:rsidRPr="00000000" w14:paraId="0000009F">
      <w:pPr>
        <w:spacing w:after="240" w:before="240" w:lineRule="auto"/>
        <w:ind w:left="1120" w:hanging="5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10 </w:t>
        <w:tab/>
        <w:t xml:space="preserve">Is de generaliseerbaarheid (</w:t>
      </w:r>
      <w:r w:rsidDel="00000000" w:rsidR="00000000" w:rsidRPr="00000000">
        <w:rPr>
          <w:i w:val="1"/>
          <w:rtl w:val="0"/>
        </w:rPr>
        <w:t xml:space="preserve">external validity</w:t>
      </w:r>
      <w:r w:rsidDel="00000000" w:rsidR="00000000" w:rsidRPr="00000000">
        <w:rPr>
          <w:rtl w:val="0"/>
        </w:rPr>
        <w:t xml:space="preserve">) beschreven door de auteurs?</w:t>
      </w:r>
    </w:p>
    <w:p w:rsidR="00000000" w:rsidDel="00000000" w:rsidP="00000000" w:rsidRDefault="00000000" w:rsidRPr="00000000" w14:paraId="000000A1">
      <w:pPr>
        <w:spacing w:after="240" w:before="240" w:lineRule="auto"/>
        <w:ind w:left="1120" w:hanging="560"/>
        <w:rPr/>
      </w:pPr>
      <w:r w:rsidDel="00000000" w:rsidR="00000000" w:rsidRPr="00000000">
        <w:rPr>
          <w:rtl w:val="0"/>
        </w:rPr>
        <w:t xml:space="preserve">Nee.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0.6345915917645"/>
        <w:gridCol w:w="5174.877219431859"/>
        <w:tblGridChange w:id="0">
          <w:tblGrid>
            <w:gridCol w:w="3850.6345915917645"/>
            <w:gridCol w:w="5174.877219431859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Vraag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Geef antwoord op de vraag en motiveer je antwoord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Waren de deelnemers uit het onderzoek voldoende vergelijkbaar met de patiënt in de eigen klinische setting?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 deelnemers hebben ook schizofrenie, depressieve periodes zijn niet benoemd.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Zijn alle belangrijke outcomes voor deze eigen patiënten bij deze interventie in het artikel besproken?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Depressieve gevoelens en het effect op emotie is niet besproken.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Is de interventie haalbaarheid en toepasbaar in de eigen praktijkvoering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AVG is toepasbaar wanneer er beschikking is over een spelcomputer zoals een WII, HIIT training is makkelijker toepasbaar.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Wat zijn de voor en nadelen van behandeling voor de patiënt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 interventies zijn herhaaldelijk en hieraan moet dan ook vastgehouden worden.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Wegen de te verwachten voordelen van de interventie op tegen de mogelijke nadelen, schade, en tegen de kosten van de interventie?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De kosten van de interventie van AVG zijn hoger dan nodig aangezien de interventie met HIIT dezelfde uitkomst resulteert. De kosten voor een spelcomputer zijn hiermee overbodig.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Sluit de interventie aan bij verwachtingen, voorkeuren en waarderingen van uw patiënt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HIIT training, met simpel wandelen/hardlopen kan na verloop van tijd wel als saai worden ervaren, het voordeel van de AVG is het interactieve met de spelcomputer. Hierdoor is een meer stimulatie en variatie.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Eindconclusie: zou je deze interventie aan de patiënt uit de casus adviseren en waarom wel of waarom niet?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Ik zou AVG willen adviseren, wanneer de patiënt een spelcomputer kan aanschaffen. Als dit niet het geval is, heeft HIIT dezelfde resultaten. HIIT is hiermee in ieder geval een goed advies.</w:t>
            </w:r>
          </w:p>
        </w:tc>
      </w:tr>
    </w:tbl>
    <w:p w:rsidR="00000000" w:rsidDel="00000000" w:rsidP="00000000" w:rsidRDefault="00000000" w:rsidRPr="00000000" w14:paraId="000000B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.springer.com/article/10.1007/s00406-020-01200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